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2019 52 vom 30. August 2019</w:t>
      </w:r>
    </w:p>
    <w:p>
      <w:r>
        <w:t>GR Gerichte, 2019-08-30, DE</w:t>
      </w:r>
    </w:p>
    <w:p>
      <w:r>
        <w:rPr>
          <w:b/>
        </w:rPr>
        <w:t xml:space="preserve">Quelle: </w:t>
      </w:r>
      <w:r>
        <w:t>https://mcp.opencaselaw.ch/entscheid/gr_gerichte_SK2 2019 52</w:t>
      </w:r>
    </w:p>
    <w:p>
      <w:r>
        <w:t>FR: GR_GERICHTE SK2 2019 52 du 30 août 2019</w:t>
      </w:r>
    </w:p>
    <w:p>
      <w:r>
        <w:t>IT: GR_GERICHTE SK2 2019 52 del 30 agosto 2019</w:t>
      </w:r>
    </w:p>
    <w:p>
      <w:pPr>
        <w:pStyle w:val="Heading2"/>
      </w:pPr>
      <w:r>
        <w:t>Regeste</w:t>
      </w:r>
    </w:p>
    <w:p>
      <w:r>
        <w:t>Fahren trotz Entzug des Führerausweises (Verweigerung amtliche Verteidigung) | Beschwerde gegen Regionalgericht (früher Bezirksgericht)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/ 7 Sinne von Art. 130 StPO in Verbindung mit Art. 132 Abs. 1 lit. a StPO handelt und es sich andererseits offensichtlich um einen Bagatellfall handelt, sodass die amtli- che Verteidigung gemäss Art. 132 Abs. 1 lit. b und Abs. 2 StPO nicht zum Zuge kommt. Überdies fehlt es am Nachweis der Mittellosigkeit. Demzufolge ist die Be- schwerde abzuweisen. 5. Bei diesem Ausgang des Verfahrens gehen die Kosten des Beschwerdeverfah- rens zu Lasten des Beschwerdeführers (Art. 428 Abs. 1 StPO). Gemäss Art. 8 der kantonalen Verordnung über die Gerichtsgebühren im Strafverfahren (VGS; BR 350.210) ist für Entscheide im Beschwerdeverfahren eine Gerichtsgebühr von CHF 1'000.00 bis CHF 5'000.00 zu erheben. Für das vorliegende Verfahren er- scheint eine Gerichtsgebühr von CHF 1'000.00 als angemessen.</w:t>
      </w:r>
    </w:p>
    <w:p>
      <w:r>
        <w:rPr>
          <w:b/>
        </w:rPr>
        <w:t>E. 7</w:t>
      </w:r>
    </w:p>
    <w:p>
      <w:r>
        <w:t>/ 7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